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749" w:rsidRPr="00E27F25" w:rsidRDefault="00C43749" w:rsidP="0051304E">
      <w:pPr>
        <w:pStyle w:val="Heading2"/>
        <w:spacing w:before="101" w:line="235" w:lineRule="auto"/>
        <w:ind w:left="0"/>
        <w:rPr>
          <w:color w:val="007F6B"/>
          <w:spacing w:val="-3"/>
          <w:w w:val="110"/>
        </w:rPr>
      </w:pPr>
      <w:r w:rsidRPr="00E27F25">
        <w:rPr>
          <w:color w:val="007F6B"/>
          <w:spacing w:val="-3"/>
          <w:w w:val="110"/>
        </w:rPr>
        <w:t xml:space="preserve">Anexo </w:t>
      </w:r>
      <w:r>
        <w:rPr>
          <w:color w:val="007F6B"/>
          <w:spacing w:val="-3"/>
          <w:w w:val="110"/>
        </w:rPr>
        <w:t>4</w:t>
      </w:r>
      <w:r w:rsidRPr="00E27F25">
        <w:rPr>
          <w:color w:val="007F6B"/>
          <w:spacing w:val="-3"/>
          <w:w w:val="110"/>
        </w:rPr>
        <w:t xml:space="preserve"> – </w:t>
      </w:r>
      <w:r>
        <w:rPr>
          <w:color w:val="007F6B"/>
          <w:w w:val="110"/>
        </w:rPr>
        <w:t>Sugestões de metodologias lúdicas para as atividades dos Fóruns Comunitários</w:t>
      </w:r>
    </w:p>
    <w:p w:rsidR="00C43749" w:rsidRDefault="00C43749" w:rsidP="0051304E">
      <w:pPr>
        <w:pStyle w:val="BodyText"/>
        <w:spacing w:before="9" w:after="1"/>
        <w:rPr>
          <w:b/>
          <w:sz w:val="25"/>
        </w:rPr>
      </w:pPr>
    </w:p>
    <w:tbl>
      <w:tblPr>
        <w:tblW w:w="9260" w:type="dxa"/>
        <w:tblInd w:w="275" w:type="dxa"/>
        <w:tblBorders>
          <w:top w:val="single" w:sz="4" w:space="0" w:color="007F6B"/>
          <w:left w:val="single" w:sz="4" w:space="0" w:color="007F6B"/>
          <w:bottom w:val="single" w:sz="4" w:space="0" w:color="007F6B"/>
          <w:right w:val="single" w:sz="4" w:space="0" w:color="007F6B"/>
          <w:insideH w:val="single" w:sz="4" w:space="0" w:color="007F6B"/>
          <w:insideV w:val="single" w:sz="4" w:space="0" w:color="007F6B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9260"/>
      </w:tblGrid>
      <w:tr w:rsidR="00C43749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C43749" w:rsidRDefault="00C43749" w:rsidP="0051304E">
            <w:pPr>
              <w:pStyle w:val="TableParagraph"/>
              <w:spacing w:before="29" w:line="280" w:lineRule="atLeast"/>
              <w:rPr>
                <w:sz w:val="20"/>
              </w:rPr>
            </w:pPr>
            <w:r>
              <w:rPr>
                <w:w w:val="110"/>
                <w:sz w:val="20"/>
              </w:rPr>
              <w:t>Como mencionado ao longo do Guia, é fundamental que sejam desenvolvidas metodologias lúdicas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incentivem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envolvimento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efetivo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pessoas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presentes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nos</w:t>
            </w:r>
            <w:r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Fóruns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Comunitários, que muitas </w:t>
            </w:r>
            <w:r>
              <w:rPr>
                <w:spacing w:val="-3"/>
                <w:w w:val="110"/>
                <w:sz w:val="20"/>
              </w:rPr>
              <w:t xml:space="preserve">vezes </w:t>
            </w:r>
            <w:r>
              <w:rPr>
                <w:w w:val="110"/>
                <w:sz w:val="20"/>
              </w:rPr>
              <w:t xml:space="preserve">têm dificuldade em ocupar espaços de participação social, por serem distantes de sua realidade e cotidiano. Além da linguagem simples, é importante utilizar a criatividade para pensar em formas alternativas de trabalho, por isso cada município pode desenvolver as estratégias que julgarem mais adequadas ao seu contexto. A </w:t>
            </w:r>
            <w:r>
              <w:rPr>
                <w:spacing w:val="-3"/>
                <w:w w:val="110"/>
                <w:sz w:val="20"/>
              </w:rPr>
              <w:t xml:space="preserve">seguir, </w:t>
            </w:r>
            <w:r>
              <w:rPr>
                <w:w w:val="110"/>
                <w:sz w:val="20"/>
              </w:rPr>
              <w:t>são sugeridas algumas dinâmicas que podem ser utilizadas nas apresentações, grupos de trabalho e plenárias durante os Fóruns Comunitários – que podem ser adaptadas para melhor se adequarem à realidade e interesse de cada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localidade.</w:t>
            </w:r>
          </w:p>
        </w:tc>
      </w:tr>
      <w:tr w:rsidR="00C43749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F2E4CE"/>
          </w:tcPr>
          <w:p w:rsidR="00C43749" w:rsidRDefault="00C43749" w:rsidP="0051304E">
            <w:pPr>
              <w:pStyle w:val="TableParagraph"/>
              <w:spacing w:before="12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A. SUGESTÕES PARA A APRESENTAÇÃO DO DIAGNÓSTICO (USO A CRITÉRIO DO MUNICÍPIO)</w:t>
            </w:r>
          </w:p>
        </w:tc>
      </w:tr>
      <w:tr w:rsidR="00C43749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C43749" w:rsidRDefault="00C43749" w:rsidP="0051304E">
            <w:pPr>
              <w:pStyle w:val="TableParagraph"/>
              <w:spacing w:before="29" w:line="280" w:lineRule="atLeast"/>
              <w:rPr>
                <w:sz w:val="20"/>
              </w:rPr>
            </w:pPr>
            <w:r>
              <w:rPr>
                <w:w w:val="110"/>
                <w:sz w:val="20"/>
              </w:rPr>
              <w:t>Usar a criatividade para apresentar o cenário das desigualdades que afetam as crianças e adolescentes do município pode envolver a utilização de, por exemplo, teatro, poesia, música, literatura de cordel e modas de viola.</w:t>
            </w:r>
          </w:p>
        </w:tc>
      </w:tr>
      <w:tr w:rsidR="00C43749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C43749" w:rsidRDefault="00C43749" w:rsidP="0051304E">
            <w:pPr>
              <w:pStyle w:val="TableParagraph"/>
              <w:spacing w:before="29" w:line="280" w:lineRule="atLeast"/>
              <w:rPr>
                <w:sz w:val="20"/>
              </w:rPr>
            </w:pPr>
            <w:r>
              <w:rPr>
                <w:w w:val="110"/>
                <w:sz w:val="20"/>
              </w:rPr>
              <w:t>Um bom exemplo de criatividade é a realização do “Cortejo dos direitos”: uma comitiva entra no espaço do 1º Fórum Comunitário e convida os participantes para participarem de uma grande ciranda. No centro da roda, pessoas desfilam com estandartes alusivos ao Selo UNICEF e aos temas abordados na Edição 2017-2020. Este momento pode ser interessante para que os participantes notem a relação entre aquilo que lhe é de direito, a situação atual do município e as possibilidades de ação, tudo isso de maneira leve e lúdica.</w:t>
            </w:r>
          </w:p>
        </w:tc>
      </w:tr>
      <w:tr w:rsidR="00C43749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C43749" w:rsidRDefault="00C43749" w:rsidP="0051304E">
            <w:pPr>
              <w:pStyle w:val="TableParagraph"/>
              <w:spacing w:before="29" w:line="280" w:lineRule="atLeast"/>
              <w:rPr>
                <w:sz w:val="20"/>
              </w:rPr>
            </w:pPr>
            <w:r>
              <w:rPr>
                <w:w w:val="110"/>
                <w:sz w:val="20"/>
              </w:rPr>
              <w:t>Cada porta-estandarte apresenta de forma objetiva e simples os indicadores que guiam os esforços do Selo UNICEF e duas propostas para seu alcance no município. Depois convidam os participantes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Fórum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refletir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sobre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assunto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iniciar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conversas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nos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Grupos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Trabalho.</w:t>
            </w:r>
          </w:p>
        </w:tc>
      </w:tr>
      <w:tr w:rsidR="00C43749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C43749" w:rsidRDefault="00C43749" w:rsidP="0051304E">
            <w:pPr>
              <w:pStyle w:val="TableParagraph"/>
              <w:spacing w:before="29" w:line="280" w:lineRule="atLeast"/>
              <w:rPr>
                <w:sz w:val="20"/>
              </w:rPr>
            </w:pPr>
            <w:r>
              <w:rPr>
                <w:w w:val="110"/>
                <w:sz w:val="20"/>
              </w:rPr>
              <w:t>Fica a critério do município a escolha da música, a caracterização dos cirandeiros e a decoração do material a ser apresentado.</w:t>
            </w:r>
          </w:p>
        </w:tc>
      </w:tr>
      <w:tr w:rsidR="00C43749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F2E4CE"/>
          </w:tcPr>
          <w:p w:rsidR="00C43749" w:rsidRDefault="00C43749" w:rsidP="0051304E">
            <w:pPr>
              <w:pStyle w:val="TableParagraph"/>
              <w:spacing w:before="122" w:line="276" w:lineRule="auto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B.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SUGESTÕES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spacing w:val="-3"/>
                <w:w w:val="110"/>
                <w:sz w:val="20"/>
              </w:rPr>
              <w:t>PARA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OS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spacing w:val="-3"/>
                <w:w w:val="110"/>
                <w:sz w:val="20"/>
              </w:rPr>
              <w:t>PARTICIPANTES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EXPRESSAREM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SUAS</w:t>
            </w:r>
            <w:r>
              <w:rPr>
                <w:b/>
                <w:spacing w:val="-1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OPINIÕES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NOS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GRUPOS</w:t>
            </w:r>
            <w:r>
              <w:rPr>
                <w:b/>
                <w:spacing w:val="-16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DE TRABALHO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E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PLENÁRIA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(USO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CRITÉRIO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DO</w:t>
            </w:r>
            <w:r>
              <w:rPr>
                <w:b/>
                <w:spacing w:val="-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MUNICÍPIO)</w:t>
            </w:r>
          </w:p>
        </w:tc>
      </w:tr>
      <w:tr w:rsidR="00C43749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C43749" w:rsidRDefault="00C43749" w:rsidP="0051304E">
            <w:pPr>
              <w:pStyle w:val="TableParagraph"/>
              <w:spacing w:before="65" w:line="276" w:lineRule="auto"/>
              <w:rPr>
                <w:sz w:val="20"/>
              </w:rPr>
            </w:pPr>
            <w:r>
              <w:rPr>
                <w:w w:val="110"/>
                <w:sz w:val="20"/>
              </w:rPr>
              <w:t>Uma forma de estimular a participação dos convidados nos Fóruns Comunitários é utilizando recursos didáticos e lúdicos para que a comunidade possa se expressar de diferentes maneiras. Muitas vezes, os participantes não se sentem à vontade para se posicionar em grupos grandes por meio da fala convencional e, por isso, sua participação em espaços como o Fórum Comunitário acaba ficando restrita. Uma sugestão é a utilização dos cartões verde e</w:t>
            </w:r>
            <w:r w:rsidR="0051304E">
              <w:rPr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vermelho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simbolizar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concordância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ou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discordância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questionamentos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disparados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pelo(a) facilitador(a)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encontro.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isso,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recepção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1º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Fórum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Comunitário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cada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convidado</w:t>
            </w:r>
            <w:r>
              <w:rPr>
                <w:spacing w:val="-9"/>
                <w:w w:val="110"/>
                <w:sz w:val="20"/>
              </w:rPr>
              <w:t xml:space="preserve"> </w:t>
            </w:r>
            <w:r>
              <w:rPr>
                <w:spacing w:val="-3"/>
                <w:w w:val="110"/>
                <w:sz w:val="20"/>
              </w:rPr>
              <w:t>deve</w:t>
            </w:r>
            <w:r w:rsidR="0051304E">
              <w:rPr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receber uma dupla de cartões (14cm x 22cm), um verde e um vermelho.</w:t>
            </w:r>
          </w:p>
        </w:tc>
      </w:tr>
    </w:tbl>
    <w:p w:rsidR="00E27F25" w:rsidRDefault="00E27F25" w:rsidP="0051304E">
      <w:pPr>
        <w:widowControl/>
        <w:autoSpaceDE/>
        <w:autoSpaceDN/>
        <w:spacing w:after="160" w:line="259" w:lineRule="auto"/>
      </w:pPr>
    </w:p>
    <w:tbl>
      <w:tblPr>
        <w:tblW w:w="9260" w:type="dxa"/>
        <w:tblInd w:w="275" w:type="dxa"/>
        <w:tblBorders>
          <w:top w:val="single" w:sz="4" w:space="0" w:color="007F6B"/>
          <w:left w:val="single" w:sz="4" w:space="0" w:color="007F6B"/>
          <w:bottom w:val="single" w:sz="4" w:space="0" w:color="007F6B"/>
          <w:right w:val="single" w:sz="4" w:space="0" w:color="007F6B"/>
          <w:insideH w:val="single" w:sz="4" w:space="0" w:color="007F6B"/>
          <w:insideV w:val="single" w:sz="4" w:space="0" w:color="007F6B"/>
        </w:tblBorders>
        <w:tblLayout w:type="fixed"/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9260"/>
      </w:tblGrid>
      <w:tr w:rsidR="0051304E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51304E" w:rsidRDefault="0051304E" w:rsidP="0051304E">
            <w:pPr>
              <w:pStyle w:val="TableParagraph"/>
              <w:spacing w:before="65" w:line="276" w:lineRule="auto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Uma forma de utilizar os cartões e compreender o ponto de vista dos participantes é disparar perguntas que possam ser respondidas com sim ou não, concordo ou discordo, reconheço</w:t>
            </w:r>
          </w:p>
          <w:p w:rsidR="0051304E" w:rsidRDefault="0051304E" w:rsidP="0051304E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w w:val="110"/>
                <w:sz w:val="20"/>
              </w:rPr>
              <w:t xml:space="preserve">ou desconheço, entre outras respostas possíveis nesta linha de raciocínio. Para </w:t>
            </w:r>
            <w:r>
              <w:rPr>
                <w:spacing w:val="-3"/>
                <w:w w:val="110"/>
                <w:sz w:val="20"/>
              </w:rPr>
              <w:t xml:space="preserve">testar, </w:t>
            </w:r>
            <w:r>
              <w:rPr>
                <w:w w:val="110"/>
                <w:sz w:val="20"/>
              </w:rPr>
              <w:t>o(a) facilitador(a)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poderá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fazer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perguntas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sobre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fatos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cotidiano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ou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cidade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pessoas levantem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os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cartões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verde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(para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expressar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aprovação)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ou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vermelho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(significando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desaprovação). Assim,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participantes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entendem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prática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como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cartões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serão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usados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para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valer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mais</w:t>
            </w:r>
          </w:p>
          <w:p w:rsidR="0051304E" w:rsidRDefault="0051304E" w:rsidP="0051304E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w w:val="105"/>
                <w:sz w:val="20"/>
              </w:rPr>
              <w:t>adiante.</w:t>
            </w:r>
          </w:p>
        </w:tc>
      </w:tr>
      <w:tr w:rsidR="0051304E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51304E" w:rsidRDefault="0051304E" w:rsidP="0051304E">
            <w:pPr>
              <w:pStyle w:val="TableParagraph"/>
              <w:spacing w:before="65" w:line="276" w:lineRule="auto"/>
              <w:rPr>
                <w:sz w:val="20"/>
              </w:rPr>
            </w:pPr>
            <w:r>
              <w:rPr>
                <w:w w:val="110"/>
                <w:sz w:val="20"/>
              </w:rPr>
              <w:t>A sugestão é utilizar o recurso dos cartões nos grupos de trabalho, e solicitar que os convidados utilizem os cartões para cada informação levantada de acordo com o seu entendimento, assinalando verde quando acharem positivo ou vermelho quando julgarem negativo. Alguns exemplos de perguntas que podem ser feitas dentro dessa dinâmica:</w:t>
            </w:r>
          </w:p>
          <w:p w:rsidR="0051304E" w:rsidRDefault="0051304E" w:rsidP="0051304E">
            <w:pPr>
              <w:pStyle w:val="TableParagraph"/>
              <w:spacing w:before="6"/>
              <w:rPr>
                <w:rFonts w:ascii="Tahoma"/>
                <w:sz w:val="18"/>
              </w:rPr>
            </w:pPr>
          </w:p>
          <w:p w:rsidR="0051304E" w:rsidRDefault="0051304E" w:rsidP="0051304E">
            <w:pPr>
              <w:pStyle w:val="TableParagraph"/>
              <w:spacing w:before="1" w:line="276" w:lineRule="auto"/>
              <w:rPr>
                <w:sz w:val="20"/>
              </w:rPr>
            </w:pPr>
            <w:r>
              <w:rPr>
                <w:w w:val="105"/>
                <w:sz w:val="20"/>
              </w:rPr>
              <w:t>“</w:t>
            </w:r>
            <w:r>
              <w:rPr>
                <w:i/>
                <w:w w:val="105"/>
                <w:sz w:val="20"/>
              </w:rPr>
              <w:t>Antes de apresentar os resultados dos indicadores de impacto, gostaria de conhecer a percepção de vocês sobre estes assuntos no nosso município. Vocês acham que o indicador X é bom ou ruim?</w:t>
            </w:r>
            <w:r>
              <w:rPr>
                <w:w w:val="105"/>
                <w:sz w:val="20"/>
              </w:rPr>
              <w:t>” (levantar os cartões e registrar)</w:t>
            </w:r>
          </w:p>
          <w:p w:rsidR="0051304E" w:rsidRDefault="0051304E" w:rsidP="0051304E">
            <w:pPr>
              <w:pStyle w:val="TableParagraph"/>
              <w:spacing w:before="188" w:line="280" w:lineRule="atLeast"/>
              <w:rPr>
                <w:sz w:val="20"/>
              </w:rPr>
            </w:pPr>
            <w:r>
              <w:rPr>
                <w:w w:val="105"/>
                <w:sz w:val="20"/>
              </w:rPr>
              <w:t>“</w:t>
            </w:r>
            <w:r>
              <w:rPr>
                <w:i/>
                <w:w w:val="105"/>
                <w:sz w:val="20"/>
              </w:rPr>
              <w:t>Vocês acham que alguma ação já está sendo realizada para avançar no indicador X?</w:t>
            </w:r>
            <w:r>
              <w:rPr>
                <w:w w:val="105"/>
                <w:sz w:val="20"/>
              </w:rPr>
              <w:t>” (levantar os cartões e registrar)</w:t>
            </w:r>
          </w:p>
        </w:tc>
      </w:tr>
      <w:tr w:rsidR="0051304E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51304E" w:rsidRDefault="0051304E" w:rsidP="0051304E">
            <w:pPr>
              <w:pStyle w:val="TableParagraph"/>
              <w:spacing w:before="65" w:line="276" w:lineRule="auto"/>
              <w:rPr>
                <w:sz w:val="20"/>
              </w:rPr>
            </w:pPr>
            <w:r>
              <w:rPr>
                <w:w w:val="110"/>
                <w:sz w:val="20"/>
              </w:rPr>
              <w:t>Outra forma de entender o ponto de vista dos participantes é realizar perguntas relacionadas aos indicadores antes dos Grupos de Trabalho. Uma sugestão é utilizar os cartões para responder a questões que complementem o diagnóstico do município a partir da percepção da sociedade civil. Um exemplo de situação pode ser:</w:t>
            </w:r>
          </w:p>
          <w:p w:rsidR="0051304E" w:rsidRDefault="0051304E" w:rsidP="0051304E">
            <w:pPr>
              <w:pStyle w:val="TableParagraph"/>
              <w:spacing w:before="188" w:line="280" w:lineRule="atLeast"/>
              <w:rPr>
                <w:sz w:val="20"/>
              </w:rPr>
            </w:pPr>
            <w:r>
              <w:rPr>
                <w:w w:val="105"/>
                <w:sz w:val="20"/>
              </w:rPr>
              <w:t>“</w:t>
            </w:r>
            <w:r>
              <w:rPr>
                <w:i/>
                <w:w w:val="105"/>
                <w:sz w:val="20"/>
              </w:rPr>
              <w:t xml:space="preserve">Gostaria de saber qual é a percepção de vocês sobre os direitos da criança e do </w:t>
            </w:r>
            <w:r>
              <w:rPr>
                <w:i/>
                <w:spacing w:val="-2"/>
                <w:w w:val="105"/>
                <w:sz w:val="20"/>
              </w:rPr>
              <w:t xml:space="preserve">adolescente. </w:t>
            </w:r>
            <w:r>
              <w:rPr>
                <w:i/>
                <w:w w:val="105"/>
                <w:sz w:val="20"/>
              </w:rPr>
              <w:t xml:space="preserve">Vou citar uma lista de situações e vocês indicam com o cartão verde quando reconhecem  que existe essa situação em nosso município e vermelho quando desconhecem. </w:t>
            </w:r>
            <w:r>
              <w:rPr>
                <w:i/>
                <w:spacing w:val="-3"/>
                <w:w w:val="105"/>
                <w:sz w:val="20"/>
              </w:rPr>
              <w:t xml:space="preserve">Vamos </w:t>
            </w:r>
            <w:r>
              <w:rPr>
                <w:i/>
                <w:w w:val="105"/>
                <w:sz w:val="20"/>
              </w:rPr>
              <w:t>lá: crianças trabalhando na feira (levantar os cartões e registrar); oferta de vacinas diariamente nas unidades de saúde (levantar os cartões e registrar); todas as crianças da cidade frequentando a escola (levantar os cartões e registrar)</w:t>
            </w:r>
            <w:r>
              <w:rPr>
                <w:w w:val="105"/>
                <w:sz w:val="20"/>
              </w:rPr>
              <w:t>”, e assim por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diante.</w:t>
            </w:r>
          </w:p>
        </w:tc>
      </w:tr>
      <w:tr w:rsidR="0051304E" w:rsidTr="0051304E">
        <w:trPr>
          <w:trHeight w:val="364"/>
        </w:trPr>
        <w:tc>
          <w:tcPr>
            <w:tcW w:w="926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51304E" w:rsidRDefault="0051304E" w:rsidP="0051304E">
            <w:pPr>
              <w:pStyle w:val="TableParagraph"/>
              <w:spacing w:before="29" w:line="280" w:lineRule="atLeast"/>
              <w:rPr>
                <w:sz w:val="20"/>
              </w:rPr>
            </w:pPr>
            <w:r>
              <w:rPr>
                <w:w w:val="110"/>
                <w:sz w:val="20"/>
              </w:rPr>
              <w:t>Cada município tem a autonomia de criar e avaliar quais são as questões que ajudarão a qualificar a participação e propósito do recurso em cada situação, assim como quais estratégias utilizar para estimular a participação social.</w:t>
            </w:r>
          </w:p>
        </w:tc>
      </w:tr>
    </w:tbl>
    <w:p w:rsidR="00E27F25" w:rsidRDefault="00E27F25" w:rsidP="0051304E">
      <w:pPr>
        <w:widowControl/>
        <w:autoSpaceDE/>
        <w:autoSpaceDN/>
        <w:spacing w:after="160" w:line="259" w:lineRule="auto"/>
      </w:pPr>
    </w:p>
    <w:p w:rsidR="0051304E" w:rsidRDefault="0051304E" w:rsidP="0051304E">
      <w:pPr>
        <w:widowControl/>
        <w:autoSpaceDE/>
        <w:autoSpaceDN/>
        <w:spacing w:after="160" w:line="259" w:lineRule="auto"/>
      </w:pPr>
    </w:p>
    <w:p w:rsidR="00B36037" w:rsidRPr="00CD5619" w:rsidRDefault="00B36037" w:rsidP="001B5287">
      <w:pPr>
        <w:widowControl/>
        <w:autoSpaceDE/>
        <w:autoSpaceDN/>
        <w:spacing w:after="160" w:line="259" w:lineRule="auto"/>
      </w:pPr>
      <w:bookmarkStart w:id="0" w:name="_GoBack"/>
      <w:bookmarkEnd w:id="0"/>
    </w:p>
    <w:sectPr w:rsidR="00B36037" w:rsidRPr="00CD5619" w:rsidSect="0051304E">
      <w:headerReference w:type="default" r:id="rId7"/>
      <w:footerReference w:type="default" r:id="rId8"/>
      <w:pgSz w:w="12240" w:h="15840"/>
      <w:pgMar w:top="3060" w:right="1080" w:bottom="1440" w:left="117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28B" w:rsidRDefault="00B6028B" w:rsidP="00CE0216">
      <w:r>
        <w:separator/>
      </w:r>
    </w:p>
  </w:endnote>
  <w:endnote w:type="continuationSeparator" w:id="0">
    <w:p w:rsidR="00B6028B" w:rsidRDefault="00B6028B" w:rsidP="00CE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34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5"/>
      <w:gridCol w:w="2065"/>
      <w:gridCol w:w="4500"/>
      <w:gridCol w:w="2610"/>
    </w:tblGrid>
    <w:tr w:rsidR="000C138F" w:rsidTr="000C138F">
      <w:tc>
        <w:tcPr>
          <w:tcW w:w="21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Realização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0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e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stratégica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450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Parceria no Semiárido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610" w:type="dxa"/>
          <w:vAlign w:val="center"/>
        </w:tcPr>
        <w:p w:rsidR="000C138F" w:rsidRPr="00C5654C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na Amazônia</w:t>
          </w: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:</w:t>
          </w:r>
        </w:p>
      </w:tc>
    </w:tr>
    <w:tr w:rsidR="000C138F" w:rsidTr="000C138F">
      <w:tc>
        <w:tcPr>
          <w:tcW w:w="2165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1263E024" wp14:editId="1C9A726A">
                <wp:extent cx="923925" cy="335230"/>
                <wp:effectExtent l="0" t="0" r="0" b="8255"/>
                <wp:docPr id="25" name="Picture 25" descr="C:\Users\bviecili\AppData\Local\Microsoft\Windows\INetCache\Content.Word\UNICEF_ForEveryChild_Cyan_Horizontal_CMYK_P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viecili\AppData\Local\Microsoft\Windows\INetCache\Content.Word\UNICEF_ForEveryChild_Cyan_Horizontal_CMYK_PT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535" b="9187"/>
                        <a:stretch/>
                      </pic:blipFill>
                      <pic:spPr bwMode="auto">
                        <a:xfrm>
                          <a:off x="0" y="0"/>
                          <a:ext cx="956647" cy="347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5" w:type="dxa"/>
          <w:vAlign w:val="center"/>
        </w:tcPr>
        <w:p w:rsidR="000C138F" w:rsidRDefault="000C138F" w:rsidP="000C138F">
          <w:r w:rsidRPr="000C138F">
            <w:rPr>
              <w:noProof/>
              <w:lang w:val="pt-BR" w:eastAsia="pt-BR" w:bidi="ar-SA"/>
            </w:rPr>
            <w:drawing>
              <wp:inline distT="0" distB="0" distL="0" distR="0" wp14:anchorId="12D2535E" wp14:editId="29D4F951">
                <wp:extent cx="462920" cy="242887"/>
                <wp:effectExtent l="0" t="0" r="0" b="5080"/>
                <wp:docPr id="26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-10641"/>
                        <a:stretch/>
                      </pic:blipFill>
                      <pic:spPr bwMode="auto">
                        <a:xfrm>
                          <a:off x="0" y="0"/>
                          <a:ext cx="474288" cy="248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pt-BR" w:eastAsia="pt-BR" w:bidi="ar-SA"/>
            </w:rPr>
            <w:drawing>
              <wp:inline distT="0" distB="0" distL="0" distR="0" wp14:anchorId="6B6AB01C" wp14:editId="76F30C7E">
                <wp:extent cx="369127" cy="27432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2.pn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63" t="-7380" r="131" b="7380"/>
                        <a:stretch/>
                      </pic:blipFill>
                      <pic:spPr bwMode="auto">
                        <a:xfrm>
                          <a:off x="0" y="0"/>
                          <a:ext cx="369127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09F8D5D3" wp14:editId="2A2FC03E">
                <wp:extent cx="2321555" cy="274320"/>
                <wp:effectExtent l="0" t="0" r="3175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555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vAlign w:val="center"/>
        </w:tcPr>
        <w:p w:rsidR="000C138F" w:rsidRPr="00AC6218" w:rsidRDefault="000C138F" w:rsidP="000C138F">
          <w:pPr>
            <w:rPr>
              <w:noProof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>
                <wp:extent cx="1510091" cy="274320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amaz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91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</w:t>
          </w:r>
        </w:p>
      </w:tc>
    </w:tr>
  </w:tbl>
  <w:p w:rsidR="000C138F" w:rsidRDefault="0053233B">
    <w:pPr>
      <w:pStyle w:val="Footer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-4445</wp:posOffset>
              </wp:positionH>
              <wp:positionV relativeFrom="paragraph">
                <wp:posOffset>-649288</wp:posOffset>
              </wp:positionV>
              <wp:extent cx="7767638" cy="0"/>
              <wp:effectExtent l="0" t="0" r="2413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7638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B88E2" id="Straight Connector 9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35pt,-51.15pt" to="611.3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" strokecolor="#00b0f0" strokeweight="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28B" w:rsidRDefault="00B6028B" w:rsidP="00CE0216">
      <w:r>
        <w:separator/>
      </w:r>
    </w:p>
  </w:footnote>
  <w:footnote w:type="continuationSeparator" w:id="0">
    <w:p w:rsidR="00B6028B" w:rsidRDefault="00B6028B" w:rsidP="00CE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216" w:rsidRPr="00CE0216" w:rsidRDefault="000C138F" w:rsidP="00CE0216">
    <w:pPr>
      <w:pStyle w:val="Header"/>
    </w:pPr>
    <w:r w:rsidRPr="00CE0216">
      <w:rPr>
        <w:noProof/>
        <w:lang w:val="pt-BR" w:eastAsia="pt-BR" w:bidi="ar-SA"/>
      </w:rPr>
      <w:drawing>
        <wp:anchor distT="0" distB="0" distL="114300" distR="114300" simplePos="0" relativeHeight="251661312" behindDoc="0" locked="0" layoutInCell="1" allowOverlap="1" wp14:anchorId="525CFCCD" wp14:editId="1FCB9139">
          <wp:simplePos x="0" y="0"/>
          <wp:positionH relativeFrom="column">
            <wp:posOffset>-364490</wp:posOffset>
          </wp:positionH>
          <wp:positionV relativeFrom="paragraph">
            <wp:posOffset>444500</wp:posOffset>
          </wp:positionV>
          <wp:extent cx="1064260" cy="1072515"/>
          <wp:effectExtent l="0" t="0" r="2540" b="0"/>
          <wp:wrapNone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0216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68CEB" wp14:editId="47EE65FE">
              <wp:simplePos x="0" y="0"/>
              <wp:positionH relativeFrom="column">
                <wp:posOffset>-400368</wp:posOffset>
              </wp:positionH>
              <wp:positionV relativeFrom="paragraph">
                <wp:posOffset>404495</wp:posOffset>
              </wp:positionV>
              <wp:extent cx="1122680" cy="1122680"/>
              <wp:effectExtent l="0" t="0" r="20320" b="20320"/>
              <wp:wrapNone/>
              <wp:docPr id="17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2680" cy="112268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0C93FA1" id="Oval 16" o:spid="_x0000_s1026" style="position:absolute;margin-left:-31.55pt;margin-top:31.85pt;width:88.4pt;height:8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" fillcolor="white [3212]" strokecolor="white [3212]" strokeweight="1pt">
              <v:stroke joinstyle="miter"/>
            </v:oval>
          </w:pict>
        </mc:Fallback>
      </mc:AlternateContent>
    </w:r>
    <w:r w:rsidRPr="00CE0216"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4763</wp:posOffset>
          </wp:positionV>
          <wp:extent cx="7774789" cy="1228725"/>
          <wp:effectExtent l="0" t="0" r="0" b="0"/>
          <wp:wrapNone/>
          <wp:docPr id="2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789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0719"/>
    <w:multiLevelType w:val="hybridMultilevel"/>
    <w:tmpl w:val="1A4E91E0"/>
    <w:lvl w:ilvl="0" w:tplc="D444CFB6">
      <w:numFmt w:val="bullet"/>
      <w:lvlText w:val="&gt;"/>
      <w:lvlJc w:val="left"/>
      <w:pPr>
        <w:ind w:left="260" w:hanging="170"/>
      </w:pPr>
      <w:rPr>
        <w:rFonts w:ascii="Calibri" w:eastAsia="Calibri" w:hAnsi="Calibri" w:cs="Calibri" w:hint="default"/>
        <w:w w:val="120"/>
        <w:sz w:val="20"/>
        <w:szCs w:val="20"/>
        <w:lang w:val="pt-PT" w:eastAsia="pt-PT" w:bidi="pt-PT"/>
      </w:rPr>
    </w:lvl>
    <w:lvl w:ilvl="1" w:tplc="1BB8B224">
      <w:numFmt w:val="bullet"/>
      <w:lvlText w:val="•"/>
      <w:lvlJc w:val="left"/>
      <w:pPr>
        <w:ind w:left="1114" w:hanging="170"/>
      </w:pPr>
      <w:rPr>
        <w:rFonts w:hint="default"/>
        <w:lang w:val="pt-PT" w:eastAsia="pt-PT" w:bidi="pt-PT"/>
      </w:rPr>
    </w:lvl>
    <w:lvl w:ilvl="2" w:tplc="C3CC08DC">
      <w:numFmt w:val="bullet"/>
      <w:lvlText w:val="•"/>
      <w:lvlJc w:val="left"/>
      <w:pPr>
        <w:ind w:left="1968" w:hanging="170"/>
      </w:pPr>
      <w:rPr>
        <w:rFonts w:hint="default"/>
        <w:lang w:val="pt-PT" w:eastAsia="pt-PT" w:bidi="pt-PT"/>
      </w:rPr>
    </w:lvl>
    <w:lvl w:ilvl="3" w:tplc="650CF2C8">
      <w:numFmt w:val="bullet"/>
      <w:lvlText w:val="•"/>
      <w:lvlJc w:val="left"/>
      <w:pPr>
        <w:ind w:left="2822" w:hanging="170"/>
      </w:pPr>
      <w:rPr>
        <w:rFonts w:hint="default"/>
        <w:lang w:val="pt-PT" w:eastAsia="pt-PT" w:bidi="pt-PT"/>
      </w:rPr>
    </w:lvl>
    <w:lvl w:ilvl="4" w:tplc="8B8040C8">
      <w:numFmt w:val="bullet"/>
      <w:lvlText w:val="•"/>
      <w:lvlJc w:val="left"/>
      <w:pPr>
        <w:ind w:left="3676" w:hanging="170"/>
      </w:pPr>
      <w:rPr>
        <w:rFonts w:hint="default"/>
        <w:lang w:val="pt-PT" w:eastAsia="pt-PT" w:bidi="pt-PT"/>
      </w:rPr>
    </w:lvl>
    <w:lvl w:ilvl="5" w:tplc="87985D52">
      <w:numFmt w:val="bullet"/>
      <w:lvlText w:val="•"/>
      <w:lvlJc w:val="left"/>
      <w:pPr>
        <w:ind w:left="4530" w:hanging="170"/>
      </w:pPr>
      <w:rPr>
        <w:rFonts w:hint="default"/>
        <w:lang w:val="pt-PT" w:eastAsia="pt-PT" w:bidi="pt-PT"/>
      </w:rPr>
    </w:lvl>
    <w:lvl w:ilvl="6" w:tplc="668C8172">
      <w:numFmt w:val="bullet"/>
      <w:lvlText w:val="•"/>
      <w:lvlJc w:val="left"/>
      <w:pPr>
        <w:ind w:left="5384" w:hanging="170"/>
      </w:pPr>
      <w:rPr>
        <w:rFonts w:hint="default"/>
        <w:lang w:val="pt-PT" w:eastAsia="pt-PT" w:bidi="pt-PT"/>
      </w:rPr>
    </w:lvl>
    <w:lvl w:ilvl="7" w:tplc="579EBE68">
      <w:numFmt w:val="bullet"/>
      <w:lvlText w:val="•"/>
      <w:lvlJc w:val="left"/>
      <w:pPr>
        <w:ind w:left="6239" w:hanging="170"/>
      </w:pPr>
      <w:rPr>
        <w:rFonts w:hint="default"/>
        <w:lang w:val="pt-PT" w:eastAsia="pt-PT" w:bidi="pt-PT"/>
      </w:rPr>
    </w:lvl>
    <w:lvl w:ilvl="8" w:tplc="33A6EBCA">
      <w:numFmt w:val="bullet"/>
      <w:lvlText w:val="•"/>
      <w:lvlJc w:val="left"/>
      <w:pPr>
        <w:ind w:left="7093" w:hanging="17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16"/>
    <w:rsid w:val="0000626F"/>
    <w:rsid w:val="000665BE"/>
    <w:rsid w:val="000912D2"/>
    <w:rsid w:val="000B0E5D"/>
    <w:rsid w:val="000C138F"/>
    <w:rsid w:val="001B5287"/>
    <w:rsid w:val="002510A2"/>
    <w:rsid w:val="003101C0"/>
    <w:rsid w:val="003813FC"/>
    <w:rsid w:val="004754EF"/>
    <w:rsid w:val="004A3415"/>
    <w:rsid w:val="00504ED6"/>
    <w:rsid w:val="0051304E"/>
    <w:rsid w:val="0053233B"/>
    <w:rsid w:val="00603DC1"/>
    <w:rsid w:val="00681C5E"/>
    <w:rsid w:val="007B52F8"/>
    <w:rsid w:val="008B56B0"/>
    <w:rsid w:val="008F0CBF"/>
    <w:rsid w:val="008F17BD"/>
    <w:rsid w:val="00980599"/>
    <w:rsid w:val="00985FEE"/>
    <w:rsid w:val="00A3225C"/>
    <w:rsid w:val="00A6069A"/>
    <w:rsid w:val="00AD3968"/>
    <w:rsid w:val="00B21AE2"/>
    <w:rsid w:val="00B26E58"/>
    <w:rsid w:val="00B36037"/>
    <w:rsid w:val="00B6028B"/>
    <w:rsid w:val="00B70654"/>
    <w:rsid w:val="00BE63EB"/>
    <w:rsid w:val="00C43749"/>
    <w:rsid w:val="00CD5619"/>
    <w:rsid w:val="00CE0216"/>
    <w:rsid w:val="00D50BD8"/>
    <w:rsid w:val="00D83213"/>
    <w:rsid w:val="00DD32BE"/>
    <w:rsid w:val="00E27F25"/>
    <w:rsid w:val="00E8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D9EF18"/>
  <w15:chartTrackingRefBased/>
  <w15:docId w15:val="{CEBDBEEA-4DAA-4436-9DE6-C310C03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4754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styleId="Heading2">
    <w:name w:val="heading 2"/>
    <w:basedOn w:val="Normal"/>
    <w:link w:val="Heading2Char"/>
    <w:uiPriority w:val="1"/>
    <w:qFormat/>
    <w:rsid w:val="004754EF"/>
    <w:pPr>
      <w:ind w:left="1133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216"/>
  </w:style>
  <w:style w:type="paragraph" w:styleId="Footer">
    <w:name w:val="footer"/>
    <w:basedOn w:val="Normal"/>
    <w:link w:val="Foot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216"/>
  </w:style>
  <w:style w:type="table" w:styleId="TableGrid">
    <w:name w:val="Table Grid"/>
    <w:basedOn w:val="TableNormal"/>
    <w:uiPriority w:val="39"/>
    <w:rsid w:val="000C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754EF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BodyText">
    <w:name w:val="Body Text"/>
    <w:basedOn w:val="Normal"/>
    <w:link w:val="BodyTextChar"/>
    <w:uiPriority w:val="1"/>
    <w:qFormat/>
    <w:rsid w:val="004754E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54EF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754EF"/>
  </w:style>
  <w:style w:type="character" w:styleId="CommentReference">
    <w:name w:val="annotation reference"/>
    <w:basedOn w:val="DefaultParagraphFont"/>
    <w:uiPriority w:val="99"/>
    <w:semiHidden/>
    <w:unhideWhenUsed/>
    <w:rsid w:val="00091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2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2D2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2D2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D2"/>
    <w:rPr>
      <w:rFonts w:ascii="Segoe UI" w:eastAsia="Calibri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816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 Guia de Fóruns Comunitários</dc:title>
  <dc:subject/>
  <dc:creator>UNICEF Brasil</dc:creator>
  <cp:keywords>Anexo, Fóruns, fórum comunitário</cp:keywords>
  <dc:description/>
  <cp:lastModifiedBy>Bruno Viécili</cp:lastModifiedBy>
  <cp:revision>7</cp:revision>
  <cp:lastPrinted>2018-06-01T02:18:00Z</cp:lastPrinted>
  <dcterms:created xsi:type="dcterms:W3CDTF">2018-06-13T18:36:00Z</dcterms:created>
  <dcterms:modified xsi:type="dcterms:W3CDTF">2018-06-13T19:54:00Z</dcterms:modified>
</cp:coreProperties>
</file>